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1718" w:rsidRPr="00491718" w:rsidRDefault="00491718" w:rsidP="00491718">
      <w:pPr>
        <w:rPr>
          <w:b/>
        </w:rPr>
      </w:pPr>
      <w:r w:rsidRPr="00491718">
        <w:rPr>
          <w:b/>
        </w:rPr>
        <w:t>Workers Comp Claim Checklist</w:t>
      </w:r>
    </w:p>
    <w:p w:rsidR="00491718" w:rsidRDefault="00491718" w:rsidP="00491718">
      <w:r>
        <w:t>Follow these steps when someone is injured on the job.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491718" w:rsidTr="00491718">
        <w:tc>
          <w:tcPr>
            <w:tcW w:w="4675" w:type="dxa"/>
          </w:tcPr>
          <w:p w:rsidR="00491718" w:rsidRPr="00491718" w:rsidRDefault="00491718">
            <w:pPr>
              <w:rPr>
                <w:b/>
              </w:rPr>
            </w:pPr>
            <w:r w:rsidRPr="00491718">
              <w:rPr>
                <w:b/>
              </w:rPr>
              <w:t>Item</w:t>
            </w:r>
          </w:p>
        </w:tc>
        <w:tc>
          <w:tcPr>
            <w:tcW w:w="4675" w:type="dxa"/>
          </w:tcPr>
          <w:p w:rsidR="00491718" w:rsidRPr="00491718" w:rsidRDefault="00491718">
            <w:pPr>
              <w:rPr>
                <w:b/>
              </w:rPr>
            </w:pPr>
            <w:r w:rsidRPr="00491718">
              <w:rPr>
                <w:b/>
              </w:rPr>
              <w:t>Action</w:t>
            </w:r>
          </w:p>
        </w:tc>
      </w:tr>
      <w:tr w:rsidR="00491718" w:rsidTr="00491718">
        <w:tc>
          <w:tcPr>
            <w:tcW w:w="4675" w:type="dxa"/>
          </w:tcPr>
          <w:p w:rsidR="00491718" w:rsidRDefault="00491718" w:rsidP="00AF6849">
            <w:pPr>
              <w:pStyle w:val="ListParagraph"/>
              <w:numPr>
                <w:ilvl w:val="0"/>
                <w:numId w:val="1"/>
              </w:numPr>
            </w:pPr>
            <w:r>
              <w:t xml:space="preserve">Is the employee seriously injured? </w:t>
            </w:r>
          </w:p>
          <w:p w:rsidR="00AF6849" w:rsidRDefault="00AF6849" w:rsidP="00AF6849"/>
          <w:p w:rsidR="00AF6849" w:rsidRDefault="00AF6849" w:rsidP="00AF6849"/>
        </w:tc>
        <w:tc>
          <w:tcPr>
            <w:tcW w:w="4675" w:type="dxa"/>
          </w:tcPr>
          <w:p w:rsidR="00491718" w:rsidRDefault="00491718">
            <w:r>
              <w:t>Stop working on this and call 911 or otherwise get them to a Hospital as necessary.</w:t>
            </w:r>
            <w:r w:rsidR="00AF6849">
              <w:t xml:space="preserve">  Then come back and finish reporting the claim within 24 hours.</w:t>
            </w:r>
          </w:p>
        </w:tc>
      </w:tr>
      <w:tr w:rsidR="00491718" w:rsidTr="00491718">
        <w:tc>
          <w:tcPr>
            <w:tcW w:w="4675" w:type="dxa"/>
          </w:tcPr>
          <w:p w:rsidR="00491718" w:rsidRDefault="00491718" w:rsidP="00AF6849">
            <w:pPr>
              <w:pStyle w:val="ListParagraph"/>
              <w:numPr>
                <w:ilvl w:val="0"/>
                <w:numId w:val="1"/>
              </w:numPr>
            </w:pPr>
            <w:r>
              <w:t>If employee wants medical treatment</w:t>
            </w:r>
          </w:p>
        </w:tc>
        <w:tc>
          <w:tcPr>
            <w:tcW w:w="4675" w:type="dxa"/>
          </w:tcPr>
          <w:p w:rsidR="00491718" w:rsidRPr="00AF6849" w:rsidRDefault="00AF6849">
            <w:r>
              <w:t xml:space="preserve">Send them to a Local Doctor’s Care or Urgent Care. </w:t>
            </w:r>
            <w:r>
              <w:rPr>
                <w:b/>
              </w:rPr>
              <w:t>Send them with</w:t>
            </w:r>
            <w:r w:rsidRPr="00AF6849">
              <w:rPr>
                <w:b/>
              </w:rPr>
              <w:t xml:space="preserve"> the Authorization </w:t>
            </w:r>
            <w:r>
              <w:rPr>
                <w:b/>
              </w:rPr>
              <w:t xml:space="preserve">Letter so that the doctor will see them.  </w:t>
            </w:r>
            <w:r>
              <w:t xml:space="preserve">Then </w:t>
            </w:r>
            <w:r w:rsidR="00BE153E">
              <w:t>finish reporting the claim within 24 hours.</w:t>
            </w:r>
          </w:p>
        </w:tc>
      </w:tr>
      <w:tr w:rsidR="00491718" w:rsidTr="00491718">
        <w:tc>
          <w:tcPr>
            <w:tcW w:w="4675" w:type="dxa"/>
          </w:tcPr>
          <w:p w:rsidR="00491718" w:rsidRDefault="00AF6849" w:rsidP="00AF6849">
            <w:pPr>
              <w:pStyle w:val="ListParagraph"/>
              <w:numPr>
                <w:ilvl w:val="0"/>
                <w:numId w:val="1"/>
              </w:numPr>
            </w:pPr>
            <w:r>
              <w:t>If the employee says they are fine and do not want medical treatment.</w:t>
            </w:r>
          </w:p>
        </w:tc>
        <w:tc>
          <w:tcPr>
            <w:tcW w:w="4675" w:type="dxa"/>
          </w:tcPr>
          <w:p w:rsidR="00491718" w:rsidRDefault="00AF6849">
            <w:r>
              <w:t>Still report the claim within 24 hours. This will create a record in case the</w:t>
            </w:r>
            <w:r w:rsidR="00BE153E">
              <w:t xml:space="preserve"> employee</w:t>
            </w:r>
            <w:r>
              <w:t xml:space="preserve"> start</w:t>
            </w:r>
            <w:r w:rsidR="00BE153E">
              <w:t>s</w:t>
            </w:r>
            <w:r>
              <w:t xml:space="preserve"> hurting later.</w:t>
            </w:r>
          </w:p>
        </w:tc>
      </w:tr>
      <w:tr w:rsidR="00491718" w:rsidTr="00491718">
        <w:tc>
          <w:tcPr>
            <w:tcW w:w="4675" w:type="dxa"/>
          </w:tcPr>
          <w:p w:rsidR="00491718" w:rsidRDefault="00AF6849">
            <w:r>
              <w:t>Employee Report of Injury</w:t>
            </w:r>
          </w:p>
        </w:tc>
        <w:tc>
          <w:tcPr>
            <w:tcW w:w="4675" w:type="dxa"/>
          </w:tcPr>
          <w:p w:rsidR="00AF6849" w:rsidRDefault="00AF6849">
            <w:r>
              <w:t xml:space="preserve">Employee fills this out. Serves as a record of what happened </w:t>
            </w:r>
            <w:r w:rsidRPr="00AF6849">
              <w:rPr>
                <w:i/>
              </w:rPr>
              <w:t>in their own words</w:t>
            </w:r>
            <w:r>
              <w:t>.</w:t>
            </w:r>
          </w:p>
        </w:tc>
      </w:tr>
      <w:tr w:rsidR="00AF6849" w:rsidTr="00491718">
        <w:tc>
          <w:tcPr>
            <w:tcW w:w="4675" w:type="dxa"/>
          </w:tcPr>
          <w:p w:rsidR="00AF6849" w:rsidRDefault="00AF6849">
            <w:r>
              <w:t>FROI – Form 12A</w:t>
            </w:r>
          </w:p>
        </w:tc>
        <w:tc>
          <w:tcPr>
            <w:tcW w:w="4675" w:type="dxa"/>
          </w:tcPr>
          <w:p w:rsidR="00AF6849" w:rsidRDefault="005806CF">
            <w:r>
              <w:t>The EMPLOYER fills this out. It summarizes what happened (use the employee’s report as a reference), as well as other information about employment useful for the claim. It is a South Carolina State standard required form.</w:t>
            </w:r>
          </w:p>
        </w:tc>
      </w:tr>
      <w:tr w:rsidR="00AF6849" w:rsidTr="00491718">
        <w:tc>
          <w:tcPr>
            <w:tcW w:w="4675" w:type="dxa"/>
          </w:tcPr>
          <w:p w:rsidR="00AF6849" w:rsidRDefault="005806CF">
            <w:r>
              <w:t>Send Report of Injury and FROI – Form 12A to the Workers Comp Carrier Amerisure</w:t>
            </w:r>
          </w:p>
        </w:tc>
        <w:tc>
          <w:tcPr>
            <w:tcW w:w="4675" w:type="dxa"/>
          </w:tcPr>
          <w:p w:rsidR="005806CF" w:rsidRDefault="005806CF" w:rsidP="005806C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Scan and email the forms to </w:t>
            </w:r>
            <w:hyperlink r:id="rId7" w:history="1">
              <w:r w:rsidRPr="00166CDD">
                <w:rPr>
                  <w:rStyle w:val="Hyperlink"/>
                  <w:sz w:val="22"/>
                  <w:szCs w:val="22"/>
                </w:rPr>
                <w:t>newclaims@amerisure.com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5806CF" w:rsidRDefault="005806CF" w:rsidP="005806C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or call/ fax to the numbers </w:t>
            </w:r>
          </w:p>
          <w:p w:rsidR="005806CF" w:rsidRDefault="005806CF" w:rsidP="005806C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South Carolina - Reporting a Claim </w:t>
            </w:r>
          </w:p>
          <w:p w:rsidR="005806CF" w:rsidRDefault="005806CF" w:rsidP="005806CF">
            <w:r>
              <w:t xml:space="preserve">Phone: 800-532-6230 </w:t>
            </w:r>
          </w:p>
          <w:p w:rsidR="00AF6849" w:rsidRDefault="005806CF" w:rsidP="003E5343">
            <w:r>
              <w:t>Fax: 704-510-8327</w:t>
            </w:r>
            <w:bookmarkStart w:id="0" w:name="_GoBack"/>
            <w:bookmarkEnd w:id="0"/>
          </w:p>
        </w:tc>
      </w:tr>
      <w:tr w:rsidR="00AF6849" w:rsidTr="00491718">
        <w:tc>
          <w:tcPr>
            <w:tcW w:w="4675" w:type="dxa"/>
          </w:tcPr>
          <w:p w:rsidR="00AF6849" w:rsidRDefault="005806CF">
            <w:r>
              <w:t>Employee Gets Treatment</w:t>
            </w:r>
          </w:p>
        </w:tc>
        <w:tc>
          <w:tcPr>
            <w:tcW w:w="4675" w:type="dxa"/>
          </w:tcPr>
          <w:p w:rsidR="00AF6849" w:rsidRDefault="005806CF">
            <w:r>
              <w:t xml:space="preserve">Amerisure will coordinate </w:t>
            </w:r>
            <w:proofErr w:type="gramStart"/>
            <w:r>
              <w:t>all of</w:t>
            </w:r>
            <w:proofErr w:type="gramEnd"/>
            <w:r>
              <w:t xml:space="preserve"> the employee’s doctor’s visits and expenses. </w:t>
            </w:r>
            <w:r w:rsidRPr="00BE153E">
              <w:rPr>
                <w:b/>
              </w:rPr>
              <w:t xml:space="preserve">It is important to note that if they go </w:t>
            </w:r>
            <w:r w:rsidR="00BE153E" w:rsidRPr="00BE153E">
              <w:rPr>
                <w:b/>
              </w:rPr>
              <w:t>another doctor, neither worker’s comp nor their personal insurance will want to pay.</w:t>
            </w:r>
          </w:p>
        </w:tc>
      </w:tr>
      <w:tr w:rsidR="005806CF" w:rsidTr="00491718">
        <w:tc>
          <w:tcPr>
            <w:tcW w:w="4675" w:type="dxa"/>
          </w:tcPr>
          <w:p w:rsidR="005806CF" w:rsidRDefault="005806CF">
            <w:r>
              <w:t>Employee may miss time from work</w:t>
            </w:r>
          </w:p>
        </w:tc>
        <w:tc>
          <w:tcPr>
            <w:tcW w:w="4675" w:type="dxa"/>
          </w:tcPr>
          <w:p w:rsidR="005806CF" w:rsidRDefault="005806CF">
            <w:r>
              <w:t>If they must miss time to recover, stay in contact with them. Ask how they are doing periodically.  It’s in your best interest for them to</w:t>
            </w:r>
            <w:r w:rsidR="00BE153E">
              <w:t xml:space="preserve"> stay engaged and get back to</w:t>
            </w:r>
            <w:r>
              <w:t xml:space="preserve"> work, as the longer they are out the higher your workers comp premium goes.</w:t>
            </w:r>
          </w:p>
          <w:p w:rsidR="003E5343" w:rsidRPr="003E5343" w:rsidRDefault="003E5343">
            <w:pPr>
              <w:rPr>
                <w:b/>
              </w:rPr>
            </w:pPr>
            <w:r w:rsidRPr="003E5343">
              <w:rPr>
                <w:b/>
              </w:rPr>
              <w:t>Check to see if FMLA Applies. Call HR if questions.</w:t>
            </w:r>
          </w:p>
        </w:tc>
      </w:tr>
      <w:tr w:rsidR="007053F5" w:rsidTr="00491718">
        <w:tc>
          <w:tcPr>
            <w:tcW w:w="4675" w:type="dxa"/>
          </w:tcPr>
          <w:p w:rsidR="007053F5" w:rsidRDefault="007053F5">
            <w:r>
              <w:t>Employee may return to work with restrictions</w:t>
            </w:r>
          </w:p>
        </w:tc>
        <w:tc>
          <w:tcPr>
            <w:tcW w:w="4675" w:type="dxa"/>
          </w:tcPr>
          <w:p w:rsidR="007053F5" w:rsidRDefault="007053F5">
            <w:r>
              <w:t xml:space="preserve">If they have restrictions, again, it’s in your best interest to get them back to </w:t>
            </w:r>
            <w:proofErr w:type="gramStart"/>
            <w:r>
              <w:t>work, and</w:t>
            </w:r>
            <w:proofErr w:type="gramEnd"/>
            <w:r>
              <w:t xml:space="preserve"> working Light Duty.</w:t>
            </w:r>
          </w:p>
        </w:tc>
      </w:tr>
      <w:tr w:rsidR="007053F5" w:rsidTr="00491718">
        <w:tc>
          <w:tcPr>
            <w:tcW w:w="4675" w:type="dxa"/>
          </w:tcPr>
          <w:p w:rsidR="007053F5" w:rsidRDefault="007053F5">
            <w:r>
              <w:t>Release to full duty</w:t>
            </w:r>
          </w:p>
        </w:tc>
        <w:tc>
          <w:tcPr>
            <w:tcW w:w="4675" w:type="dxa"/>
          </w:tcPr>
          <w:p w:rsidR="007053F5" w:rsidRDefault="007053F5">
            <w:r>
              <w:t>If they were out, they need a release from the doctor to return from full duty.</w:t>
            </w:r>
          </w:p>
        </w:tc>
      </w:tr>
    </w:tbl>
    <w:p w:rsidR="008968CF" w:rsidRDefault="008968CF">
      <w:r>
        <w:br/>
      </w:r>
      <w:r w:rsidR="007053F5">
        <w:t>Any questions, contact the Diocesan Human Resources Department.</w:t>
      </w:r>
    </w:p>
    <w:sectPr w:rsidR="008968CF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469D" w:rsidRDefault="0032469D" w:rsidP="00BE153E">
      <w:pPr>
        <w:spacing w:after="0" w:line="240" w:lineRule="auto"/>
      </w:pPr>
      <w:r>
        <w:separator/>
      </w:r>
    </w:p>
  </w:endnote>
  <w:endnote w:type="continuationSeparator" w:id="0">
    <w:p w:rsidR="0032469D" w:rsidRDefault="0032469D" w:rsidP="00BE15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153E" w:rsidRDefault="00BE153E">
    <w:pPr>
      <w:pStyle w:val="Footer"/>
    </w:pPr>
    <w:r>
      <w:t>Updated November 2018 MC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469D" w:rsidRDefault="0032469D" w:rsidP="00BE153E">
      <w:pPr>
        <w:spacing w:after="0" w:line="240" w:lineRule="auto"/>
      </w:pPr>
      <w:r>
        <w:separator/>
      </w:r>
    </w:p>
  </w:footnote>
  <w:footnote w:type="continuationSeparator" w:id="0">
    <w:p w:rsidR="0032469D" w:rsidRDefault="0032469D" w:rsidP="00BE15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8A7820"/>
    <w:multiLevelType w:val="hybridMultilevel"/>
    <w:tmpl w:val="23B645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8CF"/>
    <w:rsid w:val="002A2EFC"/>
    <w:rsid w:val="0032469D"/>
    <w:rsid w:val="003E5343"/>
    <w:rsid w:val="0043729E"/>
    <w:rsid w:val="00491718"/>
    <w:rsid w:val="005806CF"/>
    <w:rsid w:val="007053F5"/>
    <w:rsid w:val="0076133D"/>
    <w:rsid w:val="008968CF"/>
    <w:rsid w:val="00AF6849"/>
    <w:rsid w:val="00BE1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8EBE98"/>
  <w15:chartTrackingRefBased/>
  <w15:docId w15:val="{58D0E6AF-05B0-466B-8FB1-406AC4CCE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968C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968CF"/>
    <w:rPr>
      <w:color w:val="808080"/>
      <w:shd w:val="clear" w:color="auto" w:fill="E6E6E6"/>
    </w:rPr>
  </w:style>
  <w:style w:type="paragraph" w:customStyle="1" w:styleId="Default">
    <w:name w:val="Default"/>
    <w:rsid w:val="002A2EF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4917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F68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E15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153E"/>
  </w:style>
  <w:style w:type="paragraph" w:styleId="Footer">
    <w:name w:val="footer"/>
    <w:basedOn w:val="Normal"/>
    <w:link w:val="FooterChar"/>
    <w:uiPriority w:val="99"/>
    <w:unhideWhenUsed/>
    <w:rsid w:val="00BE15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15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newclaims@amerisure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Campbell</dc:creator>
  <cp:keywords/>
  <dc:description/>
  <cp:lastModifiedBy>Matt Campbell</cp:lastModifiedBy>
  <cp:revision>3</cp:revision>
  <dcterms:created xsi:type="dcterms:W3CDTF">2018-11-20T21:20:00Z</dcterms:created>
  <dcterms:modified xsi:type="dcterms:W3CDTF">2018-11-21T14:46:00Z</dcterms:modified>
</cp:coreProperties>
</file>